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026842E2" w:rsidR="002C1220" w:rsidRPr="00484DBF" w:rsidRDefault="005F10C3" w:rsidP="002C1220">
      <w:pPr>
        <w:pStyle w:val="Header"/>
        <w:tabs>
          <w:tab w:val="right" w:pos="9639"/>
        </w:tabs>
        <w:jc w:val="both"/>
        <w:rPr>
          <w:rFonts w:cs="Arial"/>
          <w:bCs/>
          <w:i/>
          <w:noProof w:val="0"/>
          <w:sz w:val="24"/>
          <w:szCs w:val="24"/>
        </w:rPr>
      </w:pPr>
      <w:bookmarkStart w:id="0" w:name="_Hlk519580081"/>
      <w:r>
        <w:rPr>
          <w:rFonts w:cs="Arial"/>
          <w:bCs/>
          <w:noProof w:val="0"/>
          <w:sz w:val="24"/>
          <w:szCs w:val="24"/>
        </w:rPr>
        <w:t>3GPP TSG-RAN WG3 Meeting #10</w:t>
      </w:r>
      <w:r w:rsidR="006B5933">
        <w:rPr>
          <w:rFonts w:cs="Arial"/>
          <w:bCs/>
          <w:noProof w:val="0"/>
          <w:sz w:val="24"/>
          <w:szCs w:val="24"/>
        </w:rPr>
        <w:t>9</w:t>
      </w:r>
      <w:r w:rsidR="00044AC7">
        <w:rPr>
          <w:rFonts w:cs="Arial"/>
          <w:bCs/>
          <w:noProof w:val="0"/>
          <w:sz w:val="24"/>
          <w:szCs w:val="24"/>
        </w:rPr>
        <w:t>-e</w:t>
      </w:r>
      <w:r w:rsidR="002C1220" w:rsidRPr="00484DBF">
        <w:rPr>
          <w:rFonts w:cs="Arial"/>
          <w:bCs/>
          <w:noProof w:val="0"/>
          <w:sz w:val="24"/>
          <w:szCs w:val="24"/>
        </w:rPr>
        <w:tab/>
      </w:r>
      <w:r w:rsidR="002C1220" w:rsidRPr="00F8519C">
        <w:rPr>
          <w:rFonts w:cs="Arial"/>
          <w:bCs/>
          <w:noProof w:val="0"/>
          <w:sz w:val="24"/>
          <w:szCs w:val="24"/>
        </w:rPr>
        <w:t>R3-</w:t>
      </w:r>
      <w:r w:rsidR="00FA4A45">
        <w:rPr>
          <w:rFonts w:cs="Arial"/>
          <w:bCs/>
          <w:noProof w:val="0"/>
          <w:sz w:val="24"/>
          <w:szCs w:val="24"/>
        </w:rPr>
        <w:t>20</w:t>
      </w:r>
      <w:r w:rsidR="004A6183">
        <w:rPr>
          <w:rFonts w:cs="Arial"/>
          <w:bCs/>
          <w:noProof w:val="0"/>
          <w:sz w:val="24"/>
          <w:szCs w:val="24"/>
        </w:rPr>
        <w:t>4985</w:t>
      </w:r>
    </w:p>
    <w:bookmarkEnd w:id="0"/>
    <w:p w14:paraId="5669B020" w14:textId="6E3267C2" w:rsidR="004C654E" w:rsidRPr="00484DBF" w:rsidRDefault="00044AC7" w:rsidP="004C654E">
      <w:pPr>
        <w:pStyle w:val="Header"/>
        <w:tabs>
          <w:tab w:val="left" w:pos="2410"/>
        </w:tabs>
        <w:rPr>
          <w:rFonts w:eastAsia="MS Mincho" w:cs="Arial"/>
          <w:sz w:val="24"/>
          <w:szCs w:val="24"/>
          <w:lang w:val="en-US"/>
        </w:rPr>
      </w:pPr>
      <w:r>
        <w:rPr>
          <w:rFonts w:eastAsia="MS Mincho" w:cs="Arial"/>
          <w:sz w:val="24"/>
          <w:szCs w:val="24"/>
          <w:lang w:val="en-US"/>
        </w:rPr>
        <w:t>E-meeting</w:t>
      </w:r>
      <w:r w:rsidR="00FC5FE8">
        <w:rPr>
          <w:rFonts w:eastAsia="MS Mincho" w:cs="Arial"/>
          <w:sz w:val="24"/>
          <w:szCs w:val="24"/>
          <w:lang w:val="en-US"/>
        </w:rPr>
        <w:t xml:space="preserve">, </w:t>
      </w:r>
      <w:r w:rsidR="00F75748">
        <w:rPr>
          <w:rFonts w:eastAsia="MS Mincho" w:cs="Arial"/>
          <w:sz w:val="24"/>
          <w:szCs w:val="24"/>
          <w:lang w:val="en-US"/>
        </w:rPr>
        <w:t>1</w:t>
      </w:r>
      <w:r w:rsidR="006B5933">
        <w:rPr>
          <w:rFonts w:eastAsia="MS Mincho" w:cs="Arial"/>
          <w:sz w:val="24"/>
          <w:szCs w:val="24"/>
          <w:lang w:val="en-US"/>
        </w:rPr>
        <w:t>7</w:t>
      </w:r>
      <w:r w:rsidR="00FA4A45">
        <w:rPr>
          <w:rFonts w:eastAsia="MS Mincho" w:cs="Arial"/>
          <w:sz w:val="24"/>
          <w:szCs w:val="24"/>
          <w:lang w:val="en-US"/>
        </w:rPr>
        <w:t>-</w:t>
      </w:r>
      <w:r w:rsidR="00F75748">
        <w:rPr>
          <w:rFonts w:eastAsia="MS Mincho" w:cs="Arial"/>
          <w:sz w:val="24"/>
          <w:szCs w:val="24"/>
          <w:lang w:val="en-US"/>
        </w:rPr>
        <w:t>2</w:t>
      </w:r>
      <w:r w:rsidR="006B5933">
        <w:rPr>
          <w:rFonts w:eastAsia="MS Mincho" w:cs="Arial"/>
          <w:sz w:val="24"/>
          <w:szCs w:val="24"/>
          <w:lang w:val="en-US"/>
        </w:rPr>
        <w:t>8</w:t>
      </w:r>
      <w:r w:rsidR="00FC5FE8">
        <w:rPr>
          <w:rFonts w:eastAsia="MS Mincho" w:cs="Arial"/>
          <w:sz w:val="24"/>
          <w:szCs w:val="24"/>
          <w:lang w:val="en-US"/>
        </w:rPr>
        <w:t xml:space="preserve"> </w:t>
      </w:r>
      <w:r w:rsidR="006B5933">
        <w:rPr>
          <w:rFonts w:eastAsia="MS Mincho" w:cs="Arial"/>
          <w:sz w:val="24"/>
          <w:szCs w:val="24"/>
          <w:lang w:val="en-US"/>
        </w:rPr>
        <w:t>Aug</w:t>
      </w:r>
      <w:r w:rsidR="005F10C3">
        <w:rPr>
          <w:rFonts w:eastAsia="MS Mincho" w:cs="Arial"/>
          <w:sz w:val="24"/>
          <w:szCs w:val="24"/>
          <w:lang w:val="en-US"/>
        </w:rPr>
        <w:t xml:space="preserve"> 20</w:t>
      </w:r>
      <w:r w:rsidR="00FA4A45">
        <w:rPr>
          <w:rFonts w:eastAsia="MS Mincho" w:cs="Arial"/>
          <w:sz w:val="24"/>
          <w:szCs w:val="24"/>
          <w:lang w:val="en-US"/>
        </w:rPr>
        <w:t>20</w:t>
      </w:r>
    </w:p>
    <w:p w14:paraId="2F96B0BD" w14:textId="77777777" w:rsidR="002F2360" w:rsidRPr="00813CDA" w:rsidRDefault="002F2360" w:rsidP="002F2360">
      <w:pPr>
        <w:pStyle w:val="Header"/>
        <w:tabs>
          <w:tab w:val="left" w:pos="2410"/>
        </w:tabs>
        <w:rPr>
          <w:bCs/>
          <w:noProof w:val="0"/>
          <w:sz w:val="24"/>
          <w:lang w:val="en-US"/>
        </w:rPr>
      </w:pPr>
    </w:p>
    <w:p w14:paraId="430718D4" w14:textId="1B361C16" w:rsidR="002F2360" w:rsidRPr="00484DBF" w:rsidRDefault="002F2360" w:rsidP="002F2360">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sidR="004A6183">
        <w:rPr>
          <w:rFonts w:cs="Arial"/>
          <w:b/>
          <w:bCs/>
          <w:sz w:val="24"/>
        </w:rPr>
        <w:t>10.2.6</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1691E102"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CC59D6">
        <w:rPr>
          <w:rFonts w:ascii="Arial" w:hAnsi="Arial" w:cs="Arial"/>
          <w:b/>
          <w:bCs/>
          <w:sz w:val="24"/>
        </w:rPr>
        <w:t>Data forwarding in case of a HO to wrong cell</w:t>
      </w:r>
    </w:p>
    <w:p w14:paraId="0F79702C" w14:textId="0AE6489D"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4CAD8B08" w14:textId="075E61F9" w:rsidR="005E3D0F" w:rsidRDefault="00CC59D6" w:rsidP="008572DC">
      <w:pPr>
        <w:rPr>
          <w:lang w:val="en-US"/>
        </w:rPr>
      </w:pPr>
      <w:bookmarkStart w:id="1" w:name="_Toc474247438"/>
      <w:r>
        <w:rPr>
          <w:lang w:val="en-US"/>
        </w:rPr>
        <w:t xml:space="preserve">The concept of a HO to wrong cell has been defined in Rel.9, as part of SON for LTE. It means a situation, when a UE, shortly after being handed over to a target cell, suffers an RLF and attempts reestablishment to another cell – neither the prepared target cell, nor the source one. It is assumed, the HO configuration was originally </w:t>
      </w:r>
      <w:r w:rsidR="000B2850">
        <w:rPr>
          <w:lang w:val="en-US"/>
        </w:rPr>
        <w:t>wrong,</w:t>
      </w:r>
      <w:r>
        <w:rPr>
          <w:lang w:val="en-US"/>
        </w:rPr>
        <w:t xml:space="preserve"> and the HO should have been executed towards the eventual reestablishment cell.</w:t>
      </w:r>
      <w:r w:rsidR="005100CC">
        <w:rPr>
          <w:lang w:val="en-US"/>
        </w:rPr>
        <w:t xml:space="preserve"> It is important to note, that from the network perspective, the first HO may have been completed successfully, even though the UE was not able to </w:t>
      </w:r>
      <w:r w:rsidR="00E61665">
        <w:rPr>
          <w:lang w:val="en-US"/>
        </w:rPr>
        <w:t>set up communication towards the target cell.</w:t>
      </w:r>
    </w:p>
    <w:p w14:paraId="43BCF0DC" w14:textId="55E9CEF1" w:rsidR="00CC59D6" w:rsidRDefault="00CC59D6" w:rsidP="008572DC">
      <w:pPr>
        <w:rPr>
          <w:lang w:val="en-US"/>
        </w:rPr>
      </w:pPr>
      <w:r>
        <w:rPr>
          <w:lang w:val="en-US"/>
        </w:rPr>
        <w:t>Back in Rel.9, such scenario usually meant the connection is lost: it was unlikely that the reestablishment cell is prepared to accept the UE. Therefore, data forwarding was not really considered – it was enough that the problem was identified and corrected, so that other UEs do not fail.</w:t>
      </w:r>
    </w:p>
    <w:p w14:paraId="352885F1" w14:textId="6E7D6EA9" w:rsidR="00CC59D6" w:rsidRDefault="00CC59D6" w:rsidP="008572DC">
      <w:pPr>
        <w:rPr>
          <w:lang w:val="en-US"/>
        </w:rPr>
      </w:pPr>
      <w:r>
        <w:rPr>
          <w:lang w:val="en-US"/>
        </w:rPr>
        <w:t>In this paper we consider how the situation has evolved over years and how that evolution impacts data forwarding.</w:t>
      </w:r>
    </w:p>
    <w:p w14:paraId="309917E7" w14:textId="77777777" w:rsidR="00051152" w:rsidRPr="005F10C3" w:rsidRDefault="00BE5235" w:rsidP="00051152">
      <w:pPr>
        <w:pStyle w:val="Heading1"/>
        <w:tabs>
          <w:tab w:val="left" w:pos="2410"/>
        </w:tabs>
      </w:pPr>
      <w:r w:rsidRPr="005F10C3">
        <w:t>2</w:t>
      </w:r>
      <w:r w:rsidR="00051152" w:rsidRPr="005F10C3">
        <w:tab/>
      </w:r>
      <w:r w:rsidRPr="005F10C3">
        <w:t>Discussion</w:t>
      </w:r>
    </w:p>
    <w:bookmarkEnd w:id="1"/>
    <w:p w14:paraId="49CFA719" w14:textId="043F0A71" w:rsidR="009E0A7B" w:rsidRDefault="009E0A7B" w:rsidP="009E0A7B">
      <w:pPr>
        <w:pStyle w:val="Heading2"/>
        <w:rPr>
          <w:lang w:val="en-US"/>
        </w:rPr>
      </w:pPr>
      <w:r>
        <w:rPr>
          <w:lang w:val="en-US"/>
        </w:rPr>
        <w:t>2.1</w:t>
      </w:r>
      <w:r>
        <w:rPr>
          <w:lang w:val="en-US"/>
        </w:rPr>
        <w:tab/>
        <w:t>The problem</w:t>
      </w:r>
    </w:p>
    <w:p w14:paraId="72996AD5" w14:textId="234C8679" w:rsidR="00D45C9E" w:rsidRDefault="00E61665" w:rsidP="00AA4AF2">
      <w:pPr>
        <w:rPr>
          <w:lang w:val="en-US"/>
        </w:rPr>
      </w:pPr>
      <w:r>
        <w:rPr>
          <w:lang w:val="en-US"/>
        </w:rPr>
        <w:t xml:space="preserve">Details of a regular HO are presented in TS 36.300 (subclause </w:t>
      </w:r>
      <w:r w:rsidRPr="00E61665">
        <w:rPr>
          <w:lang w:val="en-US"/>
        </w:rPr>
        <w:t>10.1.2.1.1</w:t>
      </w:r>
      <w:r>
        <w:rPr>
          <w:lang w:val="en-US"/>
        </w:rPr>
        <w:t xml:space="preserve">) for LTE and in TS 38.300 (subclause </w:t>
      </w:r>
      <w:r w:rsidRPr="00E61665">
        <w:rPr>
          <w:lang w:val="en-US"/>
        </w:rPr>
        <w:t>9.2.3.2.1</w:t>
      </w:r>
      <w:r>
        <w:rPr>
          <w:lang w:val="en-US"/>
        </w:rPr>
        <w:t>) for NR. In both systems, the source stops DL data transmission towards the UE once the HO Command is delivered. Instead, it forwards the data to the target cell, which is obliged to buffer it until the UE</w:t>
      </w:r>
      <w:r w:rsidR="001E5B7D">
        <w:rPr>
          <w:lang w:val="en-US"/>
        </w:rPr>
        <w:t xml:space="preserve"> connects. </w:t>
      </w:r>
      <w:r w:rsidR="00163006">
        <w:rPr>
          <w:lang w:val="en-US"/>
        </w:rPr>
        <w:t>It is left up to the implementation if the source also buffers this data, but, considering the resource impact, it is unlikely it will.</w:t>
      </w:r>
    </w:p>
    <w:p w14:paraId="118C4E58" w14:textId="3D69EBEF" w:rsidR="00163006" w:rsidRDefault="00163006" w:rsidP="00AA4AF2">
      <w:pPr>
        <w:rPr>
          <w:lang w:val="en-US"/>
        </w:rPr>
      </w:pPr>
      <w:r>
        <w:rPr>
          <w:lang w:val="en-US"/>
        </w:rPr>
        <w:t>If the HO fails, the UE may attempt re-establishment in another cell (or re-connects back to the source). Currently, the success does not depend on the preparation alone – the re-establishment cell may fetch the UE context from the last serving cell. Part of the context fetching is also data forwarding. Therefore, if the UE reports the original target</w:t>
      </w:r>
      <w:r w:rsidR="00AF3D7A">
        <w:rPr>
          <w:lang w:val="en-US"/>
        </w:rPr>
        <w:t xml:space="preserve"> cell</w:t>
      </w:r>
      <w:r>
        <w:rPr>
          <w:lang w:val="en-US"/>
        </w:rPr>
        <w:t xml:space="preserve"> as the last serving cell</w:t>
      </w:r>
      <w:r w:rsidR="002838AC">
        <w:rPr>
          <w:lang w:val="en-US"/>
        </w:rPr>
        <w:t xml:space="preserve"> (covering the case when a failure happens in the target cell after a successful handover from source to target cell)</w:t>
      </w:r>
      <w:r>
        <w:rPr>
          <w:lang w:val="en-US"/>
        </w:rPr>
        <w:t>, the buffered DL data may be forwarded to the re-establishment cell. However, if the HO failed before UE set up connection to the target cell, it will report the source</w:t>
      </w:r>
      <w:r w:rsidR="00D23152">
        <w:rPr>
          <w:lang w:val="en-US"/>
        </w:rPr>
        <w:t xml:space="preserve"> cell</w:t>
      </w:r>
      <w:r>
        <w:rPr>
          <w:lang w:val="en-US"/>
        </w:rPr>
        <w:t xml:space="preserve"> as the last serving cell. Thus, the re-establishment node will request context from the source cell, which has already forwarded data to the original target cell. And it will have no mean to “get it back”.</w:t>
      </w:r>
    </w:p>
    <w:p w14:paraId="42483A47" w14:textId="2803B914" w:rsidR="00163006" w:rsidRPr="00615641" w:rsidRDefault="00163006" w:rsidP="00AA4AF2">
      <w:pPr>
        <w:rPr>
          <w:b/>
          <w:lang w:val="en-US"/>
        </w:rPr>
      </w:pPr>
      <w:r w:rsidRPr="00615641">
        <w:rPr>
          <w:b/>
          <w:lang w:val="en-US"/>
        </w:rPr>
        <w:t>Observation 1</w:t>
      </w:r>
      <w:r w:rsidR="00C7511D">
        <w:rPr>
          <w:b/>
          <w:lang w:val="en-US"/>
        </w:rPr>
        <w:t>-1</w:t>
      </w:r>
      <w:r w:rsidRPr="00615641">
        <w:rPr>
          <w:b/>
          <w:lang w:val="en-US"/>
        </w:rPr>
        <w:t>: In case of a HO to wrong cell, if the UE re-establishes at the source node, or the UE context is to be fetch</w:t>
      </w:r>
      <w:r w:rsidR="002838AC">
        <w:rPr>
          <w:b/>
          <w:lang w:val="en-US"/>
        </w:rPr>
        <w:t>ed</w:t>
      </w:r>
      <w:r w:rsidRPr="00615641">
        <w:rPr>
          <w:b/>
          <w:lang w:val="en-US"/>
        </w:rPr>
        <w:t xml:space="preserve"> from the source node, DL data</w:t>
      </w:r>
      <w:r w:rsidR="008707D3">
        <w:rPr>
          <w:b/>
          <w:lang w:val="en-US"/>
        </w:rPr>
        <w:t xml:space="preserve"> that is</w:t>
      </w:r>
      <w:r w:rsidRPr="00615641">
        <w:rPr>
          <w:b/>
          <w:lang w:val="en-US"/>
        </w:rPr>
        <w:t xml:space="preserve"> already forwarded to the original target node is lost.</w:t>
      </w:r>
    </w:p>
    <w:p w14:paraId="7AB12324" w14:textId="571E1D8B" w:rsidR="00163006" w:rsidRDefault="00163006" w:rsidP="00AA4AF2">
      <w:pPr>
        <w:rPr>
          <w:lang w:val="en-US"/>
        </w:rPr>
      </w:pPr>
      <w:r>
        <w:rPr>
          <w:lang w:val="en-US"/>
        </w:rPr>
        <w:t>Historically, this problem was neglected: HOF was very likely to end with disconnection anyway. Also, services were more tolerant. However, development of cellular systems goes towards enhancing reliability of the data transfer and its predictability (e.g. for URLL</w:t>
      </w:r>
      <w:r w:rsidR="009E0A7B">
        <w:rPr>
          <w:lang w:val="en-US"/>
        </w:rPr>
        <w:t>C).</w:t>
      </w:r>
    </w:p>
    <w:p w14:paraId="3960480B" w14:textId="1BBC407B" w:rsidR="009E0A7B" w:rsidRPr="00615641" w:rsidRDefault="009E0A7B" w:rsidP="00AA4AF2">
      <w:pPr>
        <w:rPr>
          <w:b/>
          <w:lang w:val="en-US"/>
        </w:rPr>
      </w:pPr>
      <w:r w:rsidRPr="00615641">
        <w:rPr>
          <w:b/>
          <w:lang w:val="en-US"/>
        </w:rPr>
        <w:t xml:space="preserve">Observation </w:t>
      </w:r>
      <w:r w:rsidR="00C7511D">
        <w:rPr>
          <w:b/>
          <w:lang w:val="en-US"/>
        </w:rPr>
        <w:t>1-</w:t>
      </w:r>
      <w:r w:rsidRPr="00615641">
        <w:rPr>
          <w:b/>
          <w:lang w:val="en-US"/>
        </w:rPr>
        <w:t>2: Starting from Rel-16, with URLLC, loss of data due to HO problem may disrupt the connection even if radio connectivity is maintained.</w:t>
      </w:r>
    </w:p>
    <w:p w14:paraId="0C78916D" w14:textId="5ACDD5C3" w:rsidR="009E0A7B" w:rsidRPr="00615641" w:rsidRDefault="009E0A7B" w:rsidP="00AA4AF2">
      <w:pPr>
        <w:rPr>
          <w:b/>
          <w:lang w:val="en-US"/>
        </w:rPr>
      </w:pPr>
      <w:r w:rsidRPr="00615641">
        <w:rPr>
          <w:b/>
          <w:lang w:val="en-US"/>
        </w:rPr>
        <w:t xml:space="preserve">Proposal </w:t>
      </w:r>
      <w:r w:rsidR="00E2655E">
        <w:rPr>
          <w:b/>
          <w:lang w:val="en-US"/>
        </w:rPr>
        <w:t>1-</w:t>
      </w:r>
      <w:r w:rsidRPr="00615641">
        <w:rPr>
          <w:b/>
          <w:lang w:val="en-US"/>
        </w:rPr>
        <w:t>1: A solution to avoid data loss in case of a HO to wrong cell (or too early HO) hall be defined.</w:t>
      </w:r>
    </w:p>
    <w:p w14:paraId="2F9E2E8E" w14:textId="73FF0116" w:rsidR="009E0A7B" w:rsidRDefault="009E0A7B" w:rsidP="009E0A7B">
      <w:pPr>
        <w:pStyle w:val="Heading2"/>
        <w:rPr>
          <w:lang w:val="en-US"/>
        </w:rPr>
      </w:pPr>
      <w:r>
        <w:rPr>
          <w:lang w:val="en-US"/>
        </w:rPr>
        <w:lastRenderedPageBreak/>
        <w:t>2.2</w:t>
      </w:r>
      <w:r>
        <w:rPr>
          <w:lang w:val="en-US"/>
        </w:rPr>
        <w:tab/>
        <w:t>Possible solutions</w:t>
      </w:r>
    </w:p>
    <w:p w14:paraId="18D9A706" w14:textId="791013F3" w:rsidR="009E0A7B" w:rsidRDefault="00C7511D" w:rsidP="00AA4AF2">
      <w:pPr>
        <w:rPr>
          <w:lang w:val="en-US"/>
        </w:rPr>
      </w:pPr>
      <w:r>
        <w:rPr>
          <w:lang w:val="en-US"/>
        </w:rPr>
        <w:t>The most straightforward solution is to force the source node to buffer all the DL data until the HO is completed successfully. After the UE Context Release is received from the target node, the serving cell is there and thus, even if the connection fails, context (and the data) will be fetched from the target node.</w:t>
      </w:r>
    </w:p>
    <w:p w14:paraId="78DA4CD5" w14:textId="3F531DF3" w:rsidR="00C7511D" w:rsidRDefault="00C7511D" w:rsidP="00AA4AF2">
      <w:pPr>
        <w:rPr>
          <w:lang w:val="en-US"/>
        </w:rPr>
      </w:pPr>
      <w:r>
        <w:rPr>
          <w:lang w:val="en-US"/>
        </w:rPr>
        <w:t xml:space="preserve">However, this imposes quite a burden on all nodes, just for the sake of protecting </w:t>
      </w:r>
      <w:r w:rsidR="008D7685">
        <w:rPr>
          <w:lang w:val="en-US"/>
        </w:rPr>
        <w:t>a small percentage of</w:t>
      </w:r>
      <w:r>
        <w:rPr>
          <w:lang w:val="en-US"/>
        </w:rPr>
        <w:t xml:space="preserve"> HOs that fail. Therefore, this solution may not be desirable.</w:t>
      </w:r>
    </w:p>
    <w:p w14:paraId="1E9B0C07" w14:textId="17CFBB9D" w:rsidR="00C7511D" w:rsidRPr="004D162C" w:rsidRDefault="00C7511D" w:rsidP="00AA4AF2">
      <w:pPr>
        <w:rPr>
          <w:b/>
          <w:lang w:val="en-US"/>
        </w:rPr>
      </w:pPr>
      <w:r w:rsidRPr="004D162C">
        <w:rPr>
          <w:b/>
          <w:lang w:val="en-US"/>
        </w:rPr>
        <w:t xml:space="preserve">Observation 2-1: A solution that forces all the nodes to buffer all DL data during each HO is very burdensome for the network: all nodes </w:t>
      </w:r>
      <w:proofErr w:type="gramStart"/>
      <w:r w:rsidRPr="004D162C">
        <w:rPr>
          <w:b/>
          <w:lang w:val="en-US"/>
        </w:rPr>
        <w:t>have to</w:t>
      </w:r>
      <w:proofErr w:type="gramEnd"/>
      <w:r w:rsidRPr="004D162C">
        <w:rPr>
          <w:b/>
          <w:lang w:val="en-US"/>
        </w:rPr>
        <w:t xml:space="preserve"> allocate extra resources just in case some HO happens to fail.</w:t>
      </w:r>
    </w:p>
    <w:p w14:paraId="175D3B6C" w14:textId="51920489" w:rsidR="00C7511D" w:rsidRDefault="00C7511D" w:rsidP="00AA4AF2">
      <w:pPr>
        <w:rPr>
          <w:lang w:val="en-US"/>
        </w:rPr>
      </w:pPr>
      <w:r>
        <w:rPr>
          <w:lang w:val="en-US"/>
        </w:rPr>
        <w:t>Therefore, another solution is to enable fetching the data from the node where the data is buffered. This may have several options:</w:t>
      </w:r>
    </w:p>
    <w:p w14:paraId="47B9709C" w14:textId="1EF06231" w:rsidR="004D162C" w:rsidRPr="004D162C" w:rsidRDefault="00C7511D" w:rsidP="00AA4AF2">
      <w:pPr>
        <w:rPr>
          <w:u w:val="single"/>
          <w:lang w:val="en-US"/>
        </w:rPr>
      </w:pPr>
      <w:r w:rsidRPr="004D162C">
        <w:rPr>
          <w:u w:val="single"/>
          <w:lang w:val="en-US"/>
        </w:rPr>
        <w:t>The source may request data forwarding from the original target</w:t>
      </w:r>
      <w:r w:rsidR="00AE3E5B">
        <w:rPr>
          <w:u w:val="single"/>
          <w:lang w:val="en-US"/>
        </w:rPr>
        <w:t xml:space="preserve"> (possibly based on the indication from the re-establishment cell)</w:t>
      </w:r>
      <w:r w:rsidRPr="004D162C">
        <w:rPr>
          <w:u w:val="single"/>
          <w:lang w:val="en-US"/>
        </w:rPr>
        <w:t xml:space="preserve">. </w:t>
      </w:r>
    </w:p>
    <w:p w14:paraId="69C4E198" w14:textId="6F999557" w:rsidR="00C7511D" w:rsidRDefault="00C7511D" w:rsidP="00AA4AF2">
      <w:pPr>
        <w:rPr>
          <w:lang w:val="en-US"/>
        </w:rPr>
      </w:pPr>
      <w:r>
        <w:rPr>
          <w:lang w:val="en-US"/>
        </w:rPr>
        <w:t>This will work in all scenarios: if the re-establishment node requests UE context from the source node, that source may fetch the data from the original target</w:t>
      </w:r>
      <w:r w:rsidR="00A72D0F">
        <w:t xml:space="preserve"> (this “fetching” may also be direct: the source provides the target with the forwarding addresses received from the re-establishment cell)</w:t>
      </w:r>
      <w:r w:rsidR="004D162C">
        <w:rPr>
          <w:lang w:val="en-US"/>
        </w:rPr>
        <w:t>; also, if the UE re-establishes back at the source, this mechanism will allow the source to get back forwarded data. Information on data returning (including the tunnel endpoints) may be added to an existing procedure, e.g. the HO Cancel or the Address Indication.</w:t>
      </w:r>
    </w:p>
    <w:p w14:paraId="23397237" w14:textId="4C389502" w:rsidR="004D162C" w:rsidRPr="004D162C" w:rsidRDefault="004D162C" w:rsidP="00AA4AF2">
      <w:pPr>
        <w:rPr>
          <w:u w:val="single"/>
          <w:lang w:val="en-US"/>
        </w:rPr>
      </w:pPr>
      <w:r w:rsidRPr="004D162C">
        <w:rPr>
          <w:u w:val="single"/>
          <w:lang w:val="en-US"/>
        </w:rPr>
        <w:t xml:space="preserve">The re-establishment cell </w:t>
      </w:r>
      <w:r w:rsidR="00AE3E5B">
        <w:rPr>
          <w:u w:val="single"/>
          <w:lang w:val="en-US"/>
        </w:rPr>
        <w:t xml:space="preserve">uses </w:t>
      </w:r>
      <w:r w:rsidRPr="004D162C">
        <w:rPr>
          <w:u w:val="single"/>
          <w:lang w:val="en-US"/>
        </w:rPr>
        <w:t>a new or an existing procedure to fetch the data</w:t>
      </w:r>
      <w:r w:rsidR="00AE3E5B">
        <w:rPr>
          <w:u w:val="single"/>
          <w:lang w:val="en-US"/>
        </w:rPr>
        <w:t xml:space="preserve"> directly from the target cell</w:t>
      </w:r>
      <w:r w:rsidRPr="004D162C">
        <w:rPr>
          <w:u w:val="single"/>
          <w:lang w:val="en-US"/>
        </w:rPr>
        <w:t>.</w:t>
      </w:r>
    </w:p>
    <w:p w14:paraId="0E52A382" w14:textId="3BC7AB19" w:rsidR="004D162C" w:rsidRDefault="004D162C" w:rsidP="00AA4AF2">
      <w:pPr>
        <w:rPr>
          <w:lang w:val="en-US"/>
        </w:rPr>
      </w:pPr>
      <w:r>
        <w:rPr>
          <w:lang w:val="en-US"/>
        </w:rPr>
        <w:t xml:space="preserve">This is more complicated, but also covers both scenarios (too early HO or HO to wrong cell). </w:t>
      </w:r>
      <w:r w:rsidR="00AE3E5B">
        <w:rPr>
          <w:lang w:val="en-US"/>
        </w:rPr>
        <w:t xml:space="preserve">The re-establishment cell obtains the ID of the target cell from the RLF Report and, if there is direct connectivity, it uses existing or a new procedure to request data forwarding directly. </w:t>
      </w:r>
      <w:r>
        <w:rPr>
          <w:lang w:val="en-US"/>
        </w:rPr>
        <w:t>The best candidate for the procedure to use is the Address Indication, though such forwarding information may probably be appended to the SON signaling (this, however, may not work in all scenarios – if the HO was not completed, the target cell will not be involved).</w:t>
      </w:r>
    </w:p>
    <w:p w14:paraId="6A000829" w14:textId="51DF7C15" w:rsidR="004D162C" w:rsidRPr="004D162C" w:rsidRDefault="004D162C" w:rsidP="00AA4AF2">
      <w:pPr>
        <w:rPr>
          <w:b/>
          <w:lang w:val="en-US"/>
        </w:rPr>
      </w:pPr>
      <w:r w:rsidRPr="004D162C">
        <w:rPr>
          <w:b/>
          <w:lang w:val="en-US"/>
        </w:rPr>
        <w:t>Proposal 2-1: RAN3 shall consider solutions to enable data forwarding in case of a too early HO or a HO to wrong cell.</w:t>
      </w:r>
    </w:p>
    <w:p w14:paraId="222D0184" w14:textId="71F613F6" w:rsidR="00AE3E5B" w:rsidRDefault="00AE3E5B" w:rsidP="00AE3E5B">
      <w:r>
        <w:rPr>
          <w:lang w:val="en-US"/>
        </w:rPr>
        <w:t xml:space="preserve">It should also be noted that the problem </w:t>
      </w:r>
      <w:r w:rsidR="004A6183">
        <w:rPr>
          <w:lang w:val="en-US"/>
        </w:rPr>
        <w:t xml:space="preserve">may </w:t>
      </w:r>
      <w:r>
        <w:rPr>
          <w:lang w:val="en-US"/>
        </w:rPr>
        <w:t>exist</w:t>
      </w:r>
      <w:r w:rsidR="004A6183">
        <w:rPr>
          <w:lang w:val="en-US"/>
        </w:rPr>
        <w:t>, depending on implementation,</w:t>
      </w:r>
      <w:r>
        <w:rPr>
          <w:lang w:val="en-US"/>
        </w:rPr>
        <w:t xml:space="preserve"> in case of wrong </w:t>
      </w:r>
      <w:proofErr w:type="spellStart"/>
      <w:r>
        <w:rPr>
          <w:lang w:val="en-US"/>
        </w:rPr>
        <w:t>PSCell</w:t>
      </w:r>
      <w:proofErr w:type="spellEnd"/>
      <w:r>
        <w:rPr>
          <w:lang w:val="en-US"/>
        </w:rPr>
        <w:t xml:space="preserve"> change. </w:t>
      </w:r>
      <w:r>
        <w:t>In this case SCG-Failure-Information will be triggered from UE and the MN may decide the new target cell for SN-Addition. MN may need to fetch and forward the pending data at the old SN.</w:t>
      </w:r>
    </w:p>
    <w:p w14:paraId="0D5B7531" w14:textId="7E0851BD" w:rsidR="00AE3E5B" w:rsidRPr="00AE3E5B" w:rsidRDefault="00AE3E5B" w:rsidP="00AE3E5B">
      <w:pPr>
        <w:rPr>
          <w:b/>
        </w:rPr>
      </w:pPr>
      <w:r w:rsidRPr="00AE3E5B">
        <w:rPr>
          <w:b/>
        </w:rPr>
        <w:t xml:space="preserve">Observation 2-2: Similar problem </w:t>
      </w:r>
      <w:r w:rsidR="004A6183">
        <w:rPr>
          <w:b/>
        </w:rPr>
        <w:t xml:space="preserve">may </w:t>
      </w:r>
      <w:r w:rsidRPr="00AE3E5B">
        <w:rPr>
          <w:b/>
        </w:rPr>
        <w:t xml:space="preserve">exist in case of wrong </w:t>
      </w:r>
      <w:proofErr w:type="spellStart"/>
      <w:r w:rsidRPr="00AE3E5B">
        <w:rPr>
          <w:b/>
        </w:rPr>
        <w:t>PSCell</w:t>
      </w:r>
      <w:proofErr w:type="spellEnd"/>
      <w:r w:rsidRPr="00AE3E5B">
        <w:rPr>
          <w:b/>
        </w:rPr>
        <w:t xml:space="preserve"> change.</w:t>
      </w:r>
    </w:p>
    <w:p w14:paraId="29AEA5BF" w14:textId="6484C3BE" w:rsidR="00AE3E5B" w:rsidRPr="00AE3E5B" w:rsidRDefault="00AE3E5B" w:rsidP="00AE3E5B">
      <w:pPr>
        <w:rPr>
          <w:b/>
          <w:lang w:val="en-US"/>
        </w:rPr>
      </w:pPr>
      <w:r w:rsidRPr="00AE3E5B">
        <w:rPr>
          <w:b/>
        </w:rPr>
        <w:t xml:space="preserve">Proposal 2-2: Once the solution for wrong </w:t>
      </w:r>
      <w:proofErr w:type="spellStart"/>
      <w:r w:rsidRPr="00AE3E5B">
        <w:rPr>
          <w:b/>
        </w:rPr>
        <w:t>PSCell</w:t>
      </w:r>
      <w:proofErr w:type="spellEnd"/>
      <w:r w:rsidRPr="00AE3E5B">
        <w:rPr>
          <w:b/>
        </w:rPr>
        <w:t xml:space="preserve"> change is decided, an appropriate data forwarding mechanism shall be considered, too.</w:t>
      </w:r>
    </w:p>
    <w:p w14:paraId="28E42E52" w14:textId="77777777" w:rsidR="000F16C4" w:rsidRPr="005F10C3" w:rsidRDefault="00CD2620" w:rsidP="00E00CEF">
      <w:pPr>
        <w:pStyle w:val="Heading1"/>
      </w:pPr>
      <w:r w:rsidRPr="005F10C3">
        <w:t>3</w:t>
      </w:r>
      <w:r w:rsidR="000F16C4" w:rsidRPr="005F10C3">
        <w:tab/>
      </w:r>
      <w:r w:rsidRPr="005F10C3">
        <w:t>Conclusions</w:t>
      </w:r>
    </w:p>
    <w:p w14:paraId="3E2EB733" w14:textId="01B4085D" w:rsidR="00E2655E" w:rsidRDefault="00BD2F55" w:rsidP="006A43F7">
      <w:pPr>
        <w:jc w:val="both"/>
        <w:rPr>
          <w:bCs/>
          <w:lang w:val="en-US"/>
        </w:rPr>
      </w:pPr>
      <w:r>
        <w:rPr>
          <w:bCs/>
          <w:lang w:val="en-US"/>
        </w:rPr>
        <w:t xml:space="preserve">In this paper, we </w:t>
      </w:r>
      <w:proofErr w:type="spellStart"/>
      <w:r>
        <w:rPr>
          <w:bCs/>
          <w:lang w:val="en-US"/>
        </w:rPr>
        <w:t>analyse</w:t>
      </w:r>
      <w:proofErr w:type="spellEnd"/>
      <w:r>
        <w:rPr>
          <w:bCs/>
          <w:lang w:val="en-US"/>
        </w:rPr>
        <w:t xml:space="preserve"> a problem that may plague service </w:t>
      </w:r>
      <w:r w:rsidR="00E2655E">
        <w:rPr>
          <w:bCs/>
          <w:lang w:val="en-US"/>
        </w:rPr>
        <w:t>quality in case of URLLC and possible HO failures: data forwarded to wrong cell can’t be recovered</w:t>
      </w:r>
      <w:r w:rsidR="00AA26D8">
        <w:rPr>
          <w:bCs/>
          <w:lang w:val="en-US"/>
        </w:rPr>
        <w:t>. The situation can be summarized as follows:</w:t>
      </w:r>
      <w:bookmarkStart w:id="2" w:name="_GoBack"/>
      <w:bookmarkEnd w:id="2"/>
    </w:p>
    <w:p w14:paraId="68434C2F" w14:textId="77777777" w:rsidR="00E2655E" w:rsidRPr="00E2655E" w:rsidRDefault="00E2655E" w:rsidP="008213A9">
      <w:pPr>
        <w:ind w:left="284"/>
        <w:jc w:val="both"/>
        <w:rPr>
          <w:bCs/>
          <w:lang w:val="en-US"/>
        </w:rPr>
      </w:pPr>
      <w:r w:rsidRPr="00E2655E">
        <w:rPr>
          <w:bCs/>
          <w:lang w:val="en-US"/>
        </w:rPr>
        <w:t>Observation 1-1: In case of a HO to wrong cell, if the UE re-establishes at the source node, or the UE context is to be fetched from the source node, DL data that is already forwarded to the original target node is lost.</w:t>
      </w:r>
    </w:p>
    <w:p w14:paraId="78CE845B" w14:textId="77777777" w:rsidR="00E2655E" w:rsidRPr="00E2655E" w:rsidRDefault="00E2655E" w:rsidP="008213A9">
      <w:pPr>
        <w:ind w:left="284"/>
        <w:jc w:val="both"/>
        <w:rPr>
          <w:bCs/>
          <w:lang w:val="en-US"/>
        </w:rPr>
      </w:pPr>
      <w:r w:rsidRPr="00E2655E">
        <w:rPr>
          <w:bCs/>
          <w:lang w:val="en-US"/>
        </w:rPr>
        <w:t>Observation 1-2: Starting from Rel-16, with URLLC, loss of data due to HO problem may disrupt the connection even if radio connectivity is maintained.</w:t>
      </w:r>
    </w:p>
    <w:p w14:paraId="2C10ADBC" w14:textId="36618D92" w:rsidR="00A15228" w:rsidRDefault="00E2655E" w:rsidP="008213A9">
      <w:pPr>
        <w:ind w:left="284"/>
        <w:jc w:val="both"/>
        <w:rPr>
          <w:bCs/>
          <w:lang w:val="en-US"/>
        </w:rPr>
      </w:pPr>
      <w:r w:rsidRPr="00E2655E">
        <w:rPr>
          <w:bCs/>
          <w:lang w:val="en-US"/>
        </w:rPr>
        <w:t xml:space="preserve">Observation 2-1: A solution that forces all the nodes to buffer all DL data during each HO is very burdensome for the network: all nodes </w:t>
      </w:r>
      <w:proofErr w:type="gramStart"/>
      <w:r w:rsidRPr="00E2655E">
        <w:rPr>
          <w:bCs/>
          <w:lang w:val="en-US"/>
        </w:rPr>
        <w:t>have to</w:t>
      </w:r>
      <w:proofErr w:type="gramEnd"/>
      <w:r w:rsidRPr="00E2655E">
        <w:rPr>
          <w:bCs/>
          <w:lang w:val="en-US"/>
        </w:rPr>
        <w:t xml:space="preserve"> allocate extra resources just in case some HO happens to fail.</w:t>
      </w:r>
    </w:p>
    <w:p w14:paraId="7E5D6E4E" w14:textId="77777777" w:rsidR="00AE3E5B" w:rsidRDefault="00AE3E5B" w:rsidP="00AE3E5B">
      <w:pPr>
        <w:ind w:left="284"/>
      </w:pPr>
      <w:r>
        <w:t xml:space="preserve">Observation 2-2: Similar problem exists in case of wrong </w:t>
      </w:r>
      <w:proofErr w:type="spellStart"/>
      <w:r>
        <w:t>PSCell</w:t>
      </w:r>
      <w:proofErr w:type="spellEnd"/>
      <w:r>
        <w:t xml:space="preserve"> change.</w:t>
      </w:r>
    </w:p>
    <w:p w14:paraId="5780F97F" w14:textId="4BA38CB0" w:rsidR="00E2655E" w:rsidRDefault="00E2655E" w:rsidP="00E2655E">
      <w:pPr>
        <w:jc w:val="both"/>
        <w:rPr>
          <w:bCs/>
          <w:lang w:val="en-US"/>
        </w:rPr>
      </w:pPr>
      <w:r>
        <w:rPr>
          <w:bCs/>
          <w:lang w:val="en-US"/>
        </w:rPr>
        <w:t>Based on this, we make 2 proposals:</w:t>
      </w:r>
    </w:p>
    <w:p w14:paraId="6896B34E" w14:textId="77777777" w:rsidR="00E2655E" w:rsidRPr="00E2655E" w:rsidRDefault="00E2655E" w:rsidP="008213A9">
      <w:pPr>
        <w:ind w:left="284"/>
        <w:jc w:val="both"/>
        <w:rPr>
          <w:bCs/>
          <w:lang w:val="en-US"/>
        </w:rPr>
      </w:pPr>
      <w:r w:rsidRPr="00E2655E">
        <w:rPr>
          <w:bCs/>
          <w:lang w:val="en-US"/>
        </w:rPr>
        <w:t>Proposal 1-1: A solution to avoid data loss in case of a HO to wrong cell (or too early HO) hall be defined.</w:t>
      </w:r>
    </w:p>
    <w:p w14:paraId="5C591972" w14:textId="0D6C183A" w:rsidR="00E2655E" w:rsidRDefault="00E2655E" w:rsidP="008213A9">
      <w:pPr>
        <w:ind w:left="284"/>
        <w:jc w:val="both"/>
        <w:rPr>
          <w:bCs/>
          <w:lang w:val="en-US"/>
        </w:rPr>
      </w:pPr>
      <w:r w:rsidRPr="00E2655E">
        <w:rPr>
          <w:bCs/>
          <w:lang w:val="en-US"/>
        </w:rPr>
        <w:lastRenderedPageBreak/>
        <w:t>Proposal 2-1: RAN3 shall consider solutions to enable data forwarding in case of a too early HO or a HO to wrong cell.</w:t>
      </w:r>
    </w:p>
    <w:p w14:paraId="3156935F" w14:textId="77777777" w:rsidR="00AE3E5B" w:rsidRDefault="00AE3E5B" w:rsidP="00AE3E5B">
      <w:pPr>
        <w:ind w:left="284"/>
        <w:rPr>
          <w:lang w:val="en-US"/>
        </w:rPr>
      </w:pPr>
      <w:r>
        <w:t xml:space="preserve">Proposal 2-2: Once the solution for wrong </w:t>
      </w:r>
      <w:proofErr w:type="spellStart"/>
      <w:r>
        <w:t>PSCell</w:t>
      </w:r>
      <w:proofErr w:type="spellEnd"/>
      <w:r>
        <w:t xml:space="preserve"> change is decided, an appropriate data forwarding mechanism shall be considered, too.</w:t>
      </w:r>
    </w:p>
    <w:p w14:paraId="06EA1B6D" w14:textId="23724D79" w:rsidR="00E2655E" w:rsidRDefault="00E2655E" w:rsidP="00E2655E">
      <w:pPr>
        <w:jc w:val="both"/>
        <w:rPr>
          <w:bCs/>
          <w:lang w:val="en-US"/>
        </w:rPr>
      </w:pPr>
      <w:r>
        <w:rPr>
          <w:bCs/>
          <w:lang w:val="en-US"/>
        </w:rPr>
        <w:t xml:space="preserve">Out of the two discusses solutions, the first one seems more robust. Therefore, we propose </w:t>
      </w:r>
      <w:r w:rsidR="004A6183">
        <w:rPr>
          <w:bCs/>
          <w:lang w:val="en-US"/>
        </w:rPr>
        <w:t xml:space="preserve">a </w:t>
      </w:r>
      <w:r>
        <w:rPr>
          <w:bCs/>
          <w:lang w:val="en-US"/>
        </w:rPr>
        <w:t>CR enabling it in [1].</w:t>
      </w:r>
    </w:p>
    <w:p w14:paraId="483F8717" w14:textId="77777777" w:rsidR="00403B9B" w:rsidRPr="006E13D1" w:rsidRDefault="00403B9B" w:rsidP="00403B9B">
      <w:pPr>
        <w:pStyle w:val="Heading1"/>
      </w:pPr>
      <w:r w:rsidRPr="006E13D1">
        <w:t>References</w:t>
      </w:r>
    </w:p>
    <w:p w14:paraId="2AF1DCFA" w14:textId="3E1D63AB" w:rsidR="006A43F7" w:rsidRPr="00A15228" w:rsidRDefault="00462D35" w:rsidP="008A3464">
      <w:pPr>
        <w:numPr>
          <w:ilvl w:val="0"/>
          <w:numId w:val="4"/>
        </w:numPr>
        <w:overflowPunct w:val="0"/>
        <w:autoSpaceDE w:val="0"/>
        <w:autoSpaceDN w:val="0"/>
        <w:adjustRightInd w:val="0"/>
        <w:textAlignment w:val="baseline"/>
        <w:rPr>
          <w:lang w:val="fi-FI"/>
        </w:rPr>
      </w:pPr>
      <w:r>
        <w:rPr>
          <w:lang w:val="fi-FI"/>
        </w:rPr>
        <w:t>R3-20</w:t>
      </w:r>
      <w:r w:rsidR="004A6183">
        <w:rPr>
          <w:lang w:val="fi-FI"/>
        </w:rPr>
        <w:t>4986</w:t>
      </w:r>
      <w:r>
        <w:rPr>
          <w:lang w:val="fi-FI"/>
        </w:rPr>
        <w:t>, RAN3 #109-e</w:t>
      </w:r>
    </w:p>
    <w:p w14:paraId="01293442" w14:textId="77777777" w:rsidR="0022219E" w:rsidRPr="00A15228" w:rsidRDefault="0022219E" w:rsidP="0022219E">
      <w:pPr>
        <w:overflowPunct w:val="0"/>
        <w:autoSpaceDE w:val="0"/>
        <w:autoSpaceDN w:val="0"/>
        <w:adjustRightInd w:val="0"/>
        <w:textAlignment w:val="baseline"/>
        <w:rPr>
          <w:lang w:val="fi-FI"/>
        </w:rPr>
      </w:pPr>
    </w:p>
    <w:sectPr w:rsidR="0022219E" w:rsidRPr="00A152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60B85" w14:textId="77777777" w:rsidR="009B26A1" w:rsidRDefault="009B26A1">
      <w:r>
        <w:separator/>
      </w:r>
    </w:p>
  </w:endnote>
  <w:endnote w:type="continuationSeparator" w:id="0">
    <w:p w14:paraId="239811E5" w14:textId="77777777" w:rsidR="009B26A1" w:rsidRDefault="009B26A1">
      <w:r>
        <w:continuationSeparator/>
      </w:r>
    </w:p>
  </w:endnote>
  <w:endnote w:type="continuationNotice" w:id="1">
    <w:p w14:paraId="5D3AEDFB" w14:textId="77777777" w:rsidR="009B26A1" w:rsidRDefault="009B26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245C44" w14:textId="77777777" w:rsidR="009B26A1" w:rsidRDefault="009B26A1">
      <w:r>
        <w:separator/>
      </w:r>
    </w:p>
  </w:footnote>
  <w:footnote w:type="continuationSeparator" w:id="0">
    <w:p w14:paraId="6FED3EBC" w14:textId="77777777" w:rsidR="009B26A1" w:rsidRDefault="009B26A1">
      <w:r>
        <w:continuationSeparator/>
      </w:r>
    </w:p>
  </w:footnote>
  <w:footnote w:type="continuationNotice" w:id="1">
    <w:p w14:paraId="5CA64CE8" w14:textId="77777777" w:rsidR="009B26A1" w:rsidRDefault="009B26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7"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29"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28"/>
  </w:num>
  <w:num w:numId="3">
    <w:abstractNumId w:val="14"/>
  </w:num>
  <w:num w:numId="4">
    <w:abstractNumId w:val="9"/>
  </w:num>
  <w:num w:numId="5">
    <w:abstractNumId w:val="10"/>
  </w:num>
  <w:num w:numId="6">
    <w:abstractNumId w:val="36"/>
  </w:num>
  <w:num w:numId="7">
    <w:abstractNumId w:val="24"/>
  </w:num>
  <w:num w:numId="8">
    <w:abstractNumId w:val="15"/>
  </w:num>
  <w:num w:numId="9">
    <w:abstractNumId w:val="35"/>
  </w:num>
  <w:num w:numId="10">
    <w:abstractNumId w:val="23"/>
  </w:num>
  <w:num w:numId="11">
    <w:abstractNumId w:val="13"/>
  </w:num>
  <w:num w:numId="12">
    <w:abstractNumId w:val="30"/>
  </w:num>
  <w:num w:numId="13">
    <w:abstractNumId w:val="31"/>
  </w:num>
  <w:num w:numId="14">
    <w:abstractNumId w:val="2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8"/>
  </w:num>
  <w:num w:numId="25">
    <w:abstractNumId w:val="26"/>
  </w:num>
  <w:num w:numId="26">
    <w:abstractNumId w:val="16"/>
  </w:num>
  <w:num w:numId="27">
    <w:abstractNumId w:val="20"/>
  </w:num>
  <w:num w:numId="28">
    <w:abstractNumId w:val="33"/>
  </w:num>
  <w:num w:numId="29">
    <w:abstractNumId w:val="34"/>
  </w:num>
  <w:num w:numId="30">
    <w:abstractNumId w:val="25"/>
  </w:num>
  <w:num w:numId="31">
    <w:abstractNumId w:val="22"/>
  </w:num>
  <w:num w:numId="32">
    <w:abstractNumId w:val="17"/>
  </w:num>
  <w:num w:numId="33">
    <w:abstractNumId w:val="27"/>
  </w:num>
  <w:num w:numId="34">
    <w:abstractNumId w:val="12"/>
  </w:num>
  <w:num w:numId="35">
    <w:abstractNumId w:val="11"/>
  </w:num>
  <w:num w:numId="36">
    <w:abstractNumId w:val="32"/>
  </w:num>
  <w:num w:numId="37">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5146"/>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850"/>
    <w:rsid w:val="000B2EEB"/>
    <w:rsid w:val="000B4278"/>
    <w:rsid w:val="000B53A8"/>
    <w:rsid w:val="000B7558"/>
    <w:rsid w:val="000B7BCF"/>
    <w:rsid w:val="000C00D3"/>
    <w:rsid w:val="000C1438"/>
    <w:rsid w:val="000C1CC1"/>
    <w:rsid w:val="000C2A2A"/>
    <w:rsid w:val="000C5C6A"/>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50A6"/>
    <w:rsid w:val="0014626D"/>
    <w:rsid w:val="0014785F"/>
    <w:rsid w:val="001509F1"/>
    <w:rsid w:val="00151A61"/>
    <w:rsid w:val="00155D37"/>
    <w:rsid w:val="0015684E"/>
    <w:rsid w:val="001577BF"/>
    <w:rsid w:val="001609C9"/>
    <w:rsid w:val="001624A3"/>
    <w:rsid w:val="001629A8"/>
    <w:rsid w:val="00163006"/>
    <w:rsid w:val="0016401A"/>
    <w:rsid w:val="00164233"/>
    <w:rsid w:val="001642A3"/>
    <w:rsid w:val="00164774"/>
    <w:rsid w:val="001649F0"/>
    <w:rsid w:val="00164D68"/>
    <w:rsid w:val="0016591F"/>
    <w:rsid w:val="00166347"/>
    <w:rsid w:val="00167776"/>
    <w:rsid w:val="001718B3"/>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E5B7D"/>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3E43"/>
    <w:rsid w:val="00254371"/>
    <w:rsid w:val="00254EBB"/>
    <w:rsid w:val="0025778B"/>
    <w:rsid w:val="00262D37"/>
    <w:rsid w:val="00264132"/>
    <w:rsid w:val="00265F20"/>
    <w:rsid w:val="00267F60"/>
    <w:rsid w:val="002747EC"/>
    <w:rsid w:val="00274D2E"/>
    <w:rsid w:val="00280D7B"/>
    <w:rsid w:val="0028199F"/>
    <w:rsid w:val="002838AC"/>
    <w:rsid w:val="002845EF"/>
    <w:rsid w:val="002855BF"/>
    <w:rsid w:val="00286494"/>
    <w:rsid w:val="002864B2"/>
    <w:rsid w:val="00287E09"/>
    <w:rsid w:val="00290FC8"/>
    <w:rsid w:val="00293DD3"/>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0FA"/>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5E80"/>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2D35"/>
    <w:rsid w:val="00464BF9"/>
    <w:rsid w:val="004656FD"/>
    <w:rsid w:val="00465AE0"/>
    <w:rsid w:val="00465C8F"/>
    <w:rsid w:val="00465DD6"/>
    <w:rsid w:val="00467718"/>
    <w:rsid w:val="00470459"/>
    <w:rsid w:val="00471777"/>
    <w:rsid w:val="004745E6"/>
    <w:rsid w:val="00477373"/>
    <w:rsid w:val="00480550"/>
    <w:rsid w:val="00483AFF"/>
    <w:rsid w:val="00484DBF"/>
    <w:rsid w:val="004862A9"/>
    <w:rsid w:val="00486CD7"/>
    <w:rsid w:val="00490813"/>
    <w:rsid w:val="00490E2A"/>
    <w:rsid w:val="00493F5A"/>
    <w:rsid w:val="00494C2D"/>
    <w:rsid w:val="00495283"/>
    <w:rsid w:val="00495410"/>
    <w:rsid w:val="004964A5"/>
    <w:rsid w:val="004A0703"/>
    <w:rsid w:val="004A10EC"/>
    <w:rsid w:val="004A48AA"/>
    <w:rsid w:val="004A4F0F"/>
    <w:rsid w:val="004A5056"/>
    <w:rsid w:val="004A5614"/>
    <w:rsid w:val="004A5F6B"/>
    <w:rsid w:val="004A6183"/>
    <w:rsid w:val="004A6C2C"/>
    <w:rsid w:val="004A6DA1"/>
    <w:rsid w:val="004A77E4"/>
    <w:rsid w:val="004B23B9"/>
    <w:rsid w:val="004B4758"/>
    <w:rsid w:val="004B649E"/>
    <w:rsid w:val="004B7849"/>
    <w:rsid w:val="004C206C"/>
    <w:rsid w:val="004C3944"/>
    <w:rsid w:val="004C4E76"/>
    <w:rsid w:val="004C56B5"/>
    <w:rsid w:val="004C654E"/>
    <w:rsid w:val="004C7AE9"/>
    <w:rsid w:val="004D162C"/>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0CC"/>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52573"/>
    <w:rsid w:val="005536AB"/>
    <w:rsid w:val="00556793"/>
    <w:rsid w:val="0056341C"/>
    <w:rsid w:val="00565087"/>
    <w:rsid w:val="0056573F"/>
    <w:rsid w:val="00566445"/>
    <w:rsid w:val="00566D2C"/>
    <w:rsid w:val="005731F4"/>
    <w:rsid w:val="00573616"/>
    <w:rsid w:val="005759A2"/>
    <w:rsid w:val="00576820"/>
    <w:rsid w:val="0058519B"/>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641"/>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8B1"/>
    <w:rsid w:val="006A364A"/>
    <w:rsid w:val="006A43F7"/>
    <w:rsid w:val="006A50DB"/>
    <w:rsid w:val="006A54D5"/>
    <w:rsid w:val="006A5590"/>
    <w:rsid w:val="006B09B1"/>
    <w:rsid w:val="006B2381"/>
    <w:rsid w:val="006B3C66"/>
    <w:rsid w:val="006B4328"/>
    <w:rsid w:val="006B557A"/>
    <w:rsid w:val="006B5933"/>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0EB3"/>
    <w:rsid w:val="007511B4"/>
    <w:rsid w:val="00751B1A"/>
    <w:rsid w:val="00752479"/>
    <w:rsid w:val="00755817"/>
    <w:rsid w:val="0075589F"/>
    <w:rsid w:val="00757D40"/>
    <w:rsid w:val="00761EE1"/>
    <w:rsid w:val="0076250D"/>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3CDA"/>
    <w:rsid w:val="0081452D"/>
    <w:rsid w:val="008176B8"/>
    <w:rsid w:val="00820849"/>
    <w:rsid w:val="008213A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F2F"/>
    <w:rsid w:val="0085724C"/>
    <w:rsid w:val="008572DC"/>
    <w:rsid w:val="00862A45"/>
    <w:rsid w:val="00866280"/>
    <w:rsid w:val="00866E76"/>
    <w:rsid w:val="00866F16"/>
    <w:rsid w:val="0086799C"/>
    <w:rsid w:val="008707D3"/>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5ABA"/>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D7685"/>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6A1"/>
    <w:rsid w:val="009B28F7"/>
    <w:rsid w:val="009B6C3A"/>
    <w:rsid w:val="009B7671"/>
    <w:rsid w:val="009C01DA"/>
    <w:rsid w:val="009C2009"/>
    <w:rsid w:val="009C4014"/>
    <w:rsid w:val="009C55D0"/>
    <w:rsid w:val="009C55E8"/>
    <w:rsid w:val="009C5D10"/>
    <w:rsid w:val="009C67DB"/>
    <w:rsid w:val="009C7DAE"/>
    <w:rsid w:val="009D0FF6"/>
    <w:rsid w:val="009D30B7"/>
    <w:rsid w:val="009D73C0"/>
    <w:rsid w:val="009E0A7B"/>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F"/>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6D8"/>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D6538"/>
    <w:rsid w:val="00AE0FAB"/>
    <w:rsid w:val="00AE131B"/>
    <w:rsid w:val="00AE1816"/>
    <w:rsid w:val="00AE283D"/>
    <w:rsid w:val="00AE3E5B"/>
    <w:rsid w:val="00AE4D66"/>
    <w:rsid w:val="00AE5120"/>
    <w:rsid w:val="00AF248A"/>
    <w:rsid w:val="00AF3D7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819"/>
    <w:rsid w:val="00B8191A"/>
    <w:rsid w:val="00B836B3"/>
    <w:rsid w:val="00B92E27"/>
    <w:rsid w:val="00B931D0"/>
    <w:rsid w:val="00B94EC5"/>
    <w:rsid w:val="00B95C0E"/>
    <w:rsid w:val="00BA0F1F"/>
    <w:rsid w:val="00BA2519"/>
    <w:rsid w:val="00BA4DBE"/>
    <w:rsid w:val="00BA79DD"/>
    <w:rsid w:val="00BB05BD"/>
    <w:rsid w:val="00BC11EC"/>
    <w:rsid w:val="00BC1987"/>
    <w:rsid w:val="00BC434A"/>
    <w:rsid w:val="00BC6DEB"/>
    <w:rsid w:val="00BD1EA5"/>
    <w:rsid w:val="00BD24BE"/>
    <w:rsid w:val="00BD2981"/>
    <w:rsid w:val="00BD2F55"/>
    <w:rsid w:val="00BD4231"/>
    <w:rsid w:val="00BD4919"/>
    <w:rsid w:val="00BD5F08"/>
    <w:rsid w:val="00BE0EDA"/>
    <w:rsid w:val="00BE2185"/>
    <w:rsid w:val="00BE3ECA"/>
    <w:rsid w:val="00BE5235"/>
    <w:rsid w:val="00BE52FA"/>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3E55"/>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511D"/>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59D6"/>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263F"/>
    <w:rsid w:val="00D229D4"/>
    <w:rsid w:val="00D23152"/>
    <w:rsid w:val="00D23C6C"/>
    <w:rsid w:val="00D25448"/>
    <w:rsid w:val="00D313EF"/>
    <w:rsid w:val="00D316E4"/>
    <w:rsid w:val="00D32E0F"/>
    <w:rsid w:val="00D334AB"/>
    <w:rsid w:val="00D337BB"/>
    <w:rsid w:val="00D34147"/>
    <w:rsid w:val="00D34B44"/>
    <w:rsid w:val="00D34C43"/>
    <w:rsid w:val="00D36592"/>
    <w:rsid w:val="00D40F2E"/>
    <w:rsid w:val="00D417CD"/>
    <w:rsid w:val="00D45C9E"/>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41C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655E"/>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1665"/>
    <w:rsid w:val="00E62835"/>
    <w:rsid w:val="00E648F0"/>
    <w:rsid w:val="00E655A7"/>
    <w:rsid w:val="00E67287"/>
    <w:rsid w:val="00E67670"/>
    <w:rsid w:val="00E678FA"/>
    <w:rsid w:val="00E70506"/>
    <w:rsid w:val="00E72827"/>
    <w:rsid w:val="00E73933"/>
    <w:rsid w:val="00E758E2"/>
    <w:rsid w:val="00E77645"/>
    <w:rsid w:val="00E80B0B"/>
    <w:rsid w:val="00E8330F"/>
    <w:rsid w:val="00E838AA"/>
    <w:rsid w:val="00E86928"/>
    <w:rsid w:val="00E870CD"/>
    <w:rsid w:val="00E8740E"/>
    <w:rsid w:val="00E92BC4"/>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984"/>
    <w:rsid w:val="00F21F3E"/>
    <w:rsid w:val="00F2210A"/>
    <w:rsid w:val="00F22463"/>
    <w:rsid w:val="00F23E13"/>
    <w:rsid w:val="00F24153"/>
    <w:rsid w:val="00F31A73"/>
    <w:rsid w:val="00F37743"/>
    <w:rsid w:val="00F40161"/>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2564"/>
    <w:rsid w:val="00F826B3"/>
    <w:rsid w:val="00F8275A"/>
    <w:rsid w:val="00F82D09"/>
    <w:rsid w:val="00F84D05"/>
    <w:rsid w:val="00F8519C"/>
    <w:rsid w:val="00F852A4"/>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3E5B"/>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2.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4.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5.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6.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554BF2A-B8CB-4F31-9F04-FF205B2F5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30</TotalTime>
  <Pages>3</Pages>
  <Words>1089</Words>
  <Characters>6536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Bearer reconfiguration during a HO with EN-DC</vt:lpstr>
    </vt:vector>
  </TitlesOfParts>
  <Company>Nokia, Nokia Shanghai Bell</Company>
  <LinksUpToDate>false</LinksUpToDate>
  <CharactersWithSpaces>7610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forwarding in case of a HO to wrong cell</dc:title>
  <dc:subject>3GPP RAN3 #109e</dc:subject>
  <dc:creator>Benoist Sébire</dc:creator>
  <cp:keywords>&lt;keyword[, keyword, ]&gt;</cp:keywords>
  <dc:description/>
  <cp:lastModifiedBy>Nokia</cp:lastModifiedBy>
  <cp:revision>21</cp:revision>
  <cp:lastPrinted>2019-03-27T07:16:00Z</cp:lastPrinted>
  <dcterms:created xsi:type="dcterms:W3CDTF">2020-08-03T13:43:00Z</dcterms:created>
  <dcterms:modified xsi:type="dcterms:W3CDTF">2020-08-06T15:11:00Z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